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PAGLIUCA STEPHEN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BAIN CAPITAL PRIVATE EQUITY, LP</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CLARENDON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COHERENT CORP.</w:t>
              </w:r>
            </w:hyperlink>
            <w:r>
              <w:rPr/>
              <w:t xml:space="preserve"> [ </w:t>
            </w:r>
            <w:r>
              <w:rPr>
                <w:rFonts w:ascii="Times;serif" w:hAnsi="Times;serif"/>
                <w:color w:val="0000FF"/>
                <w:sz w:val="24"/>
                <w:shd w:fill="FFFFFF" w:val="clear"/>
              </w:rPr>
              <w:t>COHR</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279</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18,747</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represent a restricted stock unit award granted to the reporting person. The award will vest on the day immediately prior to the issuer's next annual meeting of the stockholders, which is expected to be November 11, 2026, subject to the reporting person's continued service to the issuer through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G. Pagliuca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0386" TargetMode="External"/><Relationship Id="rId5" Type="http://schemas.openxmlformats.org/officeDocument/2006/relationships/hyperlink" Target="http://www.sec.gov/cgi-bin/browse-edgar?action=getcompany&amp;CIK=000082031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3329</Characters>
  <CharactersWithSpaces>3879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